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C0" w:rsidRPr="00E91DAE" w:rsidRDefault="00795FC0" w:rsidP="00795FC0">
      <w:pPr>
        <w:pStyle w:val="Heading2"/>
        <w:jc w:val="left"/>
        <w:rPr>
          <w:rFonts w:ascii="Arial" w:eastAsia="Calibri" w:hAnsi="Arial" w:cs="Arial"/>
          <w:i/>
          <w:smallCaps/>
          <w:szCs w:val="28"/>
        </w:rPr>
      </w:pPr>
      <w:bookmarkStart w:id="0" w:name="_Toc174694245"/>
      <w:bookmarkStart w:id="1" w:name="_Toc146197285"/>
      <w:r w:rsidRPr="00E91DAE">
        <w:rPr>
          <w:rFonts w:ascii="Arial" w:eastAsia="Calibri" w:hAnsi="Arial" w:cs="Arial"/>
          <w:i/>
          <w:caps/>
          <w:sz w:val="28"/>
          <w:szCs w:val="28"/>
        </w:rPr>
        <w:t>COMPETITIONS BY Program of Study</w:t>
      </w:r>
      <w:bookmarkEnd w:id="0"/>
      <w:r w:rsidRPr="00E91DAE">
        <w:rPr>
          <w:rFonts w:ascii="Arial" w:eastAsia="Calibri" w:hAnsi="Arial" w:cs="Arial"/>
          <w:i/>
          <w:smallCaps/>
          <w:sz w:val="32"/>
          <w:szCs w:val="28"/>
        </w:rPr>
        <w:tab/>
      </w:r>
      <w:r w:rsidRPr="00E91DAE">
        <w:rPr>
          <w:rFonts w:ascii="Arial" w:eastAsia="Calibri" w:hAnsi="Arial" w:cs="Arial"/>
          <w:i/>
          <w:smallCaps/>
          <w:sz w:val="28"/>
          <w:szCs w:val="28"/>
        </w:rPr>
        <w:t xml:space="preserve">            </w:t>
      </w:r>
      <w:r w:rsidRPr="00E91DAE">
        <w:rPr>
          <w:rFonts w:ascii="Arial" w:eastAsia="Calibri" w:hAnsi="Arial" w:cs="Arial"/>
          <w:i/>
          <w:smallCaps/>
          <w:szCs w:val="28"/>
        </w:rPr>
        <w:t xml:space="preserve"> </w:t>
      </w:r>
    </w:p>
    <w:bookmarkEnd w:id="1"/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8"/>
          <w:szCs w:val="24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E91DAE">
        <w:rPr>
          <w:rStyle w:val="Strong"/>
          <w:rFonts w:ascii="Arial" w:hAnsi="Arial" w:cs="Arial"/>
          <w:sz w:val="23"/>
          <w:szCs w:val="23"/>
        </w:rPr>
        <w:t>Agriculture, Food, and Natural Resources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Agriculture Business Leadership &amp; Communications, Animal Science, Agriculture Technology and Mechanical Systems, Environmental and Natural Resources, Food Science and Technology and Plant Science.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795FC0"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lastRenderedPageBreak/>
        <w:t>• CP Showcase: Ag, Food, Natural Resources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lastRenderedPageBreak/>
        <w:t>• 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5B21A2">
          <w:type w:val="continuous"/>
          <w:pgSz w:w="12240" w:h="15840"/>
          <w:pgMar w:top="630" w:right="900" w:bottom="1170" w:left="630" w:header="432" w:footer="288" w:gutter="0"/>
          <w:cols w:num="2"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Architecture and Construction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Architectural Drafting and Design, Carpentry, Construction Management and Inspection, Electrical, HVAC and Sheet Metal, Masonry, Plumbing and Pipefitting.</w:t>
      </w:r>
    </w:p>
    <w:p w:rsidR="00795FC0" w:rsidRPr="00E91DAE" w:rsidRDefault="00795FC0" w:rsidP="00795FC0">
      <w:pPr>
        <w:autoSpaceDE w:val="0"/>
        <w:autoSpaceDN w:val="0"/>
        <w:adjustRightInd w:val="0"/>
        <w:spacing w:after="45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lastRenderedPageBreak/>
        <w:t xml:space="preserve">• Architectural Drafting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</w:t>
      </w:r>
      <w:r>
        <w:rPr>
          <w:rFonts w:ascii="Arial" w:eastAsia="Calibri" w:hAnsi="Arial" w:cs="Arial"/>
          <w:color w:val="000000"/>
          <w:sz w:val="20"/>
          <w:szCs w:val="23"/>
        </w:rPr>
        <w:t>Building Maintenance</w:t>
      </w: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Cabinetmaking 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Carpentry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Electrical Construction Wiring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Heat, Ventilation, Air Cond, Refrig (HVACR)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Masonry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Plumbing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8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Sheet Metal </w:t>
      </w:r>
    </w:p>
    <w:p w:rsidR="00795FC0" w:rsidRPr="00E91DAE" w:rsidRDefault="00795FC0" w:rsidP="00795FC0">
      <w:pPr>
        <w:autoSpaceDE w:val="0"/>
        <w:autoSpaceDN w:val="0"/>
        <w:adjustRightInd w:val="0"/>
        <w:spacing w:after="45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 xml:space="preserve">• TeamWorks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Auto CAD Civil Design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Construction Tool ID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Construction Materials ID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Mechanical Drafting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ind w:left="187" w:hanging="187"/>
        <w:rPr>
          <w:rFonts w:ascii="Arial" w:eastAsia="Calibri" w:hAnsi="Arial" w:cs="Arial"/>
          <w:color w:val="000000"/>
          <w:sz w:val="20"/>
          <w:szCs w:val="23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Job Exhibits – TX ONLY</w:t>
      </w:r>
    </w:p>
    <w:p w:rsidR="00795FC0" w:rsidRP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Arts, A/V Technology and Communications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Graphic Design and Interactive Media, Digital Communications, Printing and Imaging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3-D Visualization and Animation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Advertising Design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Audio Production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CP Showcase: Arts and Communication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Digital Cinema Production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Graphic Communications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Graphic Imaging Sublimation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Interactive Application and Video Game Dev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Photography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Screen Printing Technology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Telecommunications Cabling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Video Production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Video News Production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Web Design and Development </w:t>
      </w:r>
    </w:p>
    <w:p w:rsidR="00795FC0" w:rsidRPr="00E91DAE" w:rsidRDefault="00795FC0" w:rsidP="00795F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Audio Visual Quiz Bowl – TX ONLY</w:t>
      </w:r>
    </w:p>
    <w:p w:rsidR="00795FC0" w:rsidRPr="00E91DAE" w:rsidRDefault="00795FC0" w:rsidP="00795F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Desktop Publishing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spacing w:before="36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>Business, Marketing and Finance</w:t>
      </w:r>
    </w:p>
    <w:p w:rsidR="00795FC0" w:rsidRP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795FC0">
        <w:rPr>
          <w:rFonts w:ascii="Arial" w:eastAsia="Calibri" w:hAnsi="Arial" w:cs="Arial"/>
          <w:i/>
          <w:color w:val="000000"/>
          <w:sz w:val="20"/>
          <w:szCs w:val="20"/>
        </w:rPr>
        <w:t>Accounting and Financial Services, Business Management, Entrepreneurship, Marketing and Sales, Real Estate, Retail Management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>• CP Showcase: Business Mgmt and Tech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CP Showcase: Finance Services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CP Showcase: Marketing, Sales, and Services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Customer Service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Promotional Bulletin Board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Entrepreneurship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Education and Training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Early Learning, Teaching and Training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CP Showcase: Education and Training Services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Early Childhood Education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</w:rPr>
      </w:pP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87" w:hanging="187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8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>Energy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Oil and Gas Exploration and Production, Refining and Chemical Processes, Renewable Energy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CP Showcase: Industrial &amp; Engineering Tech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>• 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Health Science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Exercise Science, Wellness and Restoration, Health Informatics, Diagnostic and Therapeutic Services, Nursing Science, Biomedical Science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Basic Health Care Skills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CP Showcase: Health Science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Dental Assisting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First Aid/CPR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Health Knowledge Bowl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Health Occupations Professional Portfolio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Medical Assisting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Medical Math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Medical Terminology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Nurse Assisting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Practical Nursing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 xml:space="preserve">Hospitality and Tourism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Culinary Arts, Lodging and Resort Management, Travel, Tourism and Attractions</w:t>
      </w:r>
    </w:p>
    <w:p w:rsidR="00795FC0" w:rsidRPr="00E91DAE" w:rsidRDefault="00795FC0" w:rsidP="00795FC0">
      <w:pPr>
        <w:autoSpaceDE w:val="0"/>
        <w:autoSpaceDN w:val="0"/>
        <w:adjustRightInd w:val="0"/>
        <w:spacing w:after="45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Baking and Pastry Arts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CP Showcase: Hospitality and Tourism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Culinary Arts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Restaurant Service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>• Culinary Arts Quiz Bowl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Wedding Cake Design–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8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Human Services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Family and Community Services, Health and Wellness, Cosmetology and Personal Care</w:t>
      </w:r>
    </w:p>
    <w:p w:rsidR="00795FC0" w:rsidRPr="00E91DAE" w:rsidRDefault="00795FC0" w:rsidP="00795FC0">
      <w:pPr>
        <w:autoSpaceDE w:val="0"/>
        <w:autoSpaceDN w:val="0"/>
        <w:adjustRightInd w:val="0"/>
        <w:spacing w:after="45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 xml:space="preserve">• Barbering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CP Showcase: Human Services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Cosmetology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Esthetics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• Nail Care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lastRenderedPageBreak/>
        <w:t>• Cosmetology 3D Freehand Nail Art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Cosmetology Quiz Bowl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Nail Art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</w:rPr>
      </w:pPr>
      <w:r w:rsidRPr="00E91DAE">
        <w:rPr>
          <w:rFonts w:ascii="Arial" w:eastAsia="Calibri" w:hAnsi="Arial" w:cs="Arial"/>
          <w:color w:val="000000"/>
          <w:sz w:val="20"/>
        </w:rPr>
        <w:t>• Natural Hair Weaving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87" w:hanging="187"/>
        <w:rPr>
          <w:rFonts w:ascii="Arial" w:eastAsia="Calibri" w:hAnsi="Arial" w:cs="Arial"/>
          <w:color w:val="000000"/>
          <w:sz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 xml:space="preserve">Information Technology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Information Technology Support and Services, Networking Systems, Web Development, Cyber Security, Programming and Software Development</w:t>
      </w:r>
    </w:p>
    <w:p w:rsidR="00795FC0" w:rsidRPr="00E91DAE" w:rsidRDefault="00795FC0" w:rsidP="00795FC0">
      <w:pPr>
        <w:autoSpaceDE w:val="0"/>
        <w:autoSpaceDN w:val="0"/>
        <w:adjustRightInd w:val="0"/>
        <w:spacing w:after="45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CP Showcase: Information Technology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Computer Programming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Cyber Security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Information Technology Services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Internet of Things Smart Home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Internetworking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Technical Computer Applications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• ESports–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• IT Quiz Bowl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>Law and Public Service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Fire Science, Government and Public Administration, Law Enforcement, Legal Studies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CP Showcase: Law, Public Safety and Security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Crime Scene Investigation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Criminal Justice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Emergency Medical Technician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Firefighting 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Building/Tactical Search-TX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CERT-TX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>Criminal Justice Quiz Bowl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Felony Traffic Stop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Forensic Science Team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Police Application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Job Exhibits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CP Showcase: Government and Public Admin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Cs w:val="23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</w:p>
    <w:p w:rsidR="00795FC0" w:rsidRP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Leadership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 xml:space="preserve">Eligibility is not tied to a specific Career Technology Education Career Cluster. Leadership competitions are established for SkillsUSA members to demonstrate related SkillsUSA Framework skills through a competitive process. 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Action Skills </w:t>
      </w: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American Spirit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• Career Pathways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Chapter Business Procedure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Chapter Display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Community Action Project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Community Service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Employment Application Process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Entrepreneurship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Extemporaneous Speaking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Job Interview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Job Skill Demonstration A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Job Skill Demonstration Open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Occupational Health &amp; Safety (Single/Multiple)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Opening and Closing Ceremonies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Outstanding Chapter </w:t>
      </w: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•  Prepared Speech</w:t>
      </w: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• Pin Design</w:t>
      </w: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• Prepared Speech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• Promotional Bulletin Board</w:t>
      </w:r>
    </w:p>
    <w:p w:rsidR="00795FC0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•  Quiz Bowl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• T Shirt Design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Career Promotion Demo-TX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Emblem Ceremony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Outstanding SkillsUSA Member –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SkillsUSA Memorial Scholarship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 xml:space="preserve">Manufacturing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Robotics and Automation Technology, Manufacturing Technology, Welding, Industrial Maintenance, Electronics Technology, Advanced Manufacturing and Industrial Technology</w:t>
      </w:r>
    </w:p>
    <w:p w:rsidR="00795FC0" w:rsidRPr="00E91DAE" w:rsidRDefault="00795FC0" w:rsidP="00795FC0">
      <w:pPr>
        <w:autoSpaceDE w:val="0"/>
        <w:autoSpaceDN w:val="0"/>
        <w:adjustRightInd w:val="0"/>
        <w:spacing w:after="44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FA7717">
          <w:type w:val="continuous"/>
          <w:pgSz w:w="12240" w:h="15840"/>
          <w:pgMar w:top="630" w:right="900" w:bottom="1170" w:left="630" w:header="432" w:footer="288" w:gutter="0"/>
          <w:cols w:space="72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• Additive Manufacturing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Automated Manufacturing Technology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• CP Showcase: Industrial &amp; Engineering Techn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CNC 2-Axis Turning Programmer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CNC 3-Axis Milling Programmer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CNC 5 Axis Milling Programmer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CNC Programmer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Industrial Motor Control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• Mechatronics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Robotics and Automation Technology 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>• Precision Machining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color w:val="000000"/>
          <w:sz w:val="20"/>
          <w:szCs w:val="23"/>
        </w:rPr>
        <w:t>• Technical Drafting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Electronics Technology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Welding Applications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Welding Fabrication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Welding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Welding One – TX ONLY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</w:rPr>
        <w:t xml:space="preserve"> Welding Sculpture </w:t>
      </w:r>
    </w:p>
    <w:p w:rsidR="00795FC0" w:rsidRPr="00E91DAE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eastAsia="Calibri" w:hAnsi="Arial" w:cs="Arial"/>
          <w:color w:val="000000"/>
          <w:sz w:val="20"/>
          <w:szCs w:val="20"/>
        </w:rPr>
        <w:sectPr w:rsidR="00795FC0" w:rsidRPr="00E91DAE" w:rsidSect="001E484E">
          <w:type w:val="continuous"/>
          <w:pgSz w:w="12240" w:h="15840"/>
          <w:pgMar w:top="630" w:right="900" w:bottom="1170" w:left="630" w:header="432" w:footer="288" w:gutter="0"/>
          <w:cols w:num="2" w:space="270"/>
          <w:docGrid w:linePitch="299"/>
        </w:sect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2"/>
          <w:szCs w:val="23"/>
        </w:r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>Engineering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58281C">
          <w:type w:val="continuous"/>
          <w:pgSz w:w="12240" w:h="15840"/>
          <w:pgMar w:top="630" w:right="900" w:bottom="1170" w:left="630" w:header="432" w:footer="288" w:gutter="0"/>
          <w:cols w:space="27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lastRenderedPageBreak/>
        <w:t>Engineering Foundations, Mechanical and Aerospace Engineering, Electrical Engineering, Civil Engineering, Geospatial Engineering and Land Surveying, Drone</w:t>
      </w:r>
    </w:p>
    <w:p w:rsidR="00795FC0" w:rsidRPr="00E91DAE" w:rsidRDefault="00795FC0" w:rsidP="00795FC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  <w:sectPr w:rsidR="00795FC0" w:rsidRPr="00E91DAE" w:rsidSect="0058281C">
          <w:type w:val="continuous"/>
          <w:pgSz w:w="12240" w:h="15840"/>
          <w:pgMar w:top="630" w:right="900" w:bottom="1170" w:left="630" w:header="432" w:footer="288" w:gutter="0"/>
          <w:cols w:space="270"/>
          <w:docGrid w:linePitch="299"/>
        </w:sectPr>
      </w:pP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lastRenderedPageBreak/>
        <w:t>• CP Showcase: Industrial &amp; Engineering Tech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>• Robotics: Urban Search and Rescue</w:t>
      </w:r>
    </w:p>
    <w:p w:rsidR="00795FC0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Commercial sUAS Drone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Team Engineering Challenge </w:t>
      </w:r>
    </w:p>
    <w:p w:rsidR="00795FC0" w:rsidRPr="00795FC0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795FC0">
        <w:rPr>
          <w:rFonts w:ascii="Arial" w:eastAsia="Calibri" w:hAnsi="Arial" w:cs="Arial"/>
          <w:color w:val="000000"/>
          <w:sz w:val="20"/>
          <w:szCs w:val="20"/>
        </w:rPr>
        <w:t xml:space="preserve"> Engineering Technology Design </w:t>
      </w:r>
      <w:r w:rsidRPr="00795FC0">
        <w:rPr>
          <w:rFonts w:ascii="Arial" w:eastAsia="Calibri" w:hAnsi="Arial" w:cs="Arial"/>
          <w:color w:val="000000"/>
          <w:sz w:val="20"/>
          <w:szCs w:val="20"/>
        </w:rPr>
        <w:tab/>
      </w:r>
      <w:r w:rsidRPr="00795FC0">
        <w:rPr>
          <w:rFonts w:ascii="Arial" w:eastAsia="Calibri" w:hAnsi="Arial" w:cs="Arial"/>
          <w:color w:val="000000"/>
          <w:sz w:val="20"/>
          <w:szCs w:val="20"/>
        </w:rPr>
        <w:tab/>
      </w:r>
      <w:r w:rsidRPr="00795FC0">
        <w:rPr>
          <w:rFonts w:ascii="Arial" w:eastAsia="Calibri" w:hAnsi="Arial" w:cs="Arial"/>
          <w:color w:val="000000"/>
          <w:sz w:val="20"/>
          <w:szCs w:val="20"/>
        </w:rPr>
        <w:tab/>
      </w:r>
      <w:r w:rsidRPr="00795FC0">
        <w:rPr>
          <w:rFonts w:ascii="Arial" w:eastAsia="Calibri" w:hAnsi="Arial" w:cs="Arial"/>
          <w:color w:val="000000"/>
          <w:sz w:val="20"/>
          <w:szCs w:val="20"/>
        </w:rPr>
        <w:t>• Applied Engineering - TX ONLY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Mobile Electronics Installation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795FC0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E91DAE">
        <w:rPr>
          <w:rFonts w:ascii="Arial" w:eastAsia="Calibri" w:hAnsi="Arial" w:cs="Arial"/>
          <w:color w:val="000000"/>
          <w:sz w:val="20"/>
          <w:szCs w:val="20"/>
        </w:rPr>
        <w:t>Land Survey – TX ONLY</w:t>
      </w:r>
    </w:p>
    <w:p w:rsidR="00795FC0" w:rsidRDefault="00795FC0" w:rsidP="00795F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Mobile Robotics Technology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795FC0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E91DAE">
        <w:rPr>
          <w:rFonts w:ascii="Arial" w:eastAsia="Calibri" w:hAnsi="Arial" w:cs="Arial"/>
          <w:color w:val="000000"/>
          <w:sz w:val="20"/>
          <w:szCs w:val="20"/>
        </w:rPr>
        <w:t>Job Exhibits – TX ONLY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Principles of Engineering Technology 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Related Technical Math </w:t>
      </w:r>
    </w:p>
    <w:p w:rsidR="00795FC0" w:rsidRPr="00795FC0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b/>
          <w:bCs/>
          <w:color w:val="000000"/>
          <w:sz w:val="12"/>
          <w:szCs w:val="23"/>
        </w:rPr>
      </w:pPr>
      <w:bookmarkStart w:id="2" w:name="_GoBack"/>
      <w:bookmarkEnd w:id="2"/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3"/>
          <w:szCs w:val="23"/>
        </w:rPr>
      </w:pPr>
      <w:r w:rsidRPr="00E91DAE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Transportation Distribution and Logistics 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i/>
          <w:color w:val="000000"/>
          <w:sz w:val="20"/>
          <w:szCs w:val="23"/>
        </w:rPr>
      </w:pPr>
      <w:r w:rsidRPr="00E91DAE">
        <w:rPr>
          <w:rFonts w:ascii="Arial" w:eastAsia="Calibri" w:hAnsi="Arial" w:cs="Arial"/>
          <w:i/>
          <w:color w:val="000000"/>
          <w:sz w:val="20"/>
          <w:szCs w:val="23"/>
        </w:rPr>
        <w:t>Automotive and Collision Repair, Aviation Maintenance, Diesel and Heavy Equipment Maintenance and Commercial Driving, Distribution, Logistics and Warehousing, Aviation (pilots), Maritime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Automotive Maintenance and Light Repair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>• Marine Service Technology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Automotive Refinishing Technology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Motorcycle Service Technology 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Automotive Service Technology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Power Equipment Technology </w:t>
      </w:r>
    </w:p>
    <w:p w:rsidR="00795FC0" w:rsidRPr="00E91DAE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Aviation Maintenance Technology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>• Automotive Quiz Bowl-TX ONLY</w:t>
      </w:r>
    </w:p>
    <w:p w:rsidR="00795FC0" w:rsidRPr="00795FC0" w:rsidRDefault="00795FC0" w:rsidP="00795F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Collision Damage Appraisal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>• Automotive Tool ID – TX ONLY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Collision Repair Technology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E91DAE">
        <w:rPr>
          <w:rFonts w:ascii="Arial" w:hAnsi="Arial" w:cs="Arial"/>
        </w:rPr>
        <w:t>Job Exhibits – TX ONL</w:t>
      </w:r>
    </w:p>
    <w:p w:rsidR="00795FC0" w:rsidRPr="00E91DAE" w:rsidRDefault="00795FC0" w:rsidP="00795FC0">
      <w:pPr>
        <w:autoSpaceDE w:val="0"/>
        <w:autoSpaceDN w:val="0"/>
        <w:adjustRightInd w:val="0"/>
        <w:ind w:left="90" w:hanging="90"/>
        <w:rPr>
          <w:rFonts w:ascii="Arial" w:eastAsia="Calibri" w:hAnsi="Arial" w:cs="Arial"/>
          <w:color w:val="000000"/>
          <w:sz w:val="20"/>
          <w:szCs w:val="20"/>
        </w:rPr>
      </w:pPr>
      <w:r w:rsidRPr="00E91DAE">
        <w:rPr>
          <w:rFonts w:ascii="Arial" w:eastAsia="Calibri" w:hAnsi="Arial" w:cs="Arial"/>
          <w:color w:val="000000"/>
          <w:sz w:val="20"/>
          <w:szCs w:val="20"/>
        </w:rPr>
        <w:t xml:space="preserve">• Diesel Equipment Technology </w:t>
      </w:r>
    </w:p>
    <w:p w:rsidR="004236DB" w:rsidRDefault="004236DB" w:rsidP="00795FC0">
      <w:pPr>
        <w:ind w:left="-720"/>
      </w:pPr>
    </w:p>
    <w:sectPr w:rsidR="004236DB" w:rsidSect="00795FC0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60A7"/>
    <w:multiLevelType w:val="hybridMultilevel"/>
    <w:tmpl w:val="7B3AC886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000D"/>
    <w:multiLevelType w:val="hybridMultilevel"/>
    <w:tmpl w:val="4AA2AF20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67D3"/>
    <w:multiLevelType w:val="hybridMultilevel"/>
    <w:tmpl w:val="A336F478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0"/>
    <w:rsid w:val="004236DB"/>
    <w:rsid w:val="007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E112"/>
  <w15:chartTrackingRefBased/>
  <w15:docId w15:val="{5D963BFF-4D9A-4C67-81EC-74426EF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C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795FC0"/>
    <w:pPr>
      <w:keepNext/>
      <w:tabs>
        <w:tab w:val="right" w:pos="360"/>
        <w:tab w:val="left" w:pos="540"/>
        <w:tab w:val="left" w:pos="4140"/>
      </w:tabs>
      <w:ind w:right="-36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795FC0"/>
    <w:rPr>
      <w:rFonts w:ascii="Calibri" w:hAnsi="Calibri" w:cs="Calibri"/>
      <w:b/>
      <w:sz w:val="24"/>
    </w:rPr>
  </w:style>
  <w:style w:type="character" w:styleId="Strong">
    <w:name w:val="Strong"/>
    <w:uiPriority w:val="22"/>
    <w:qFormat/>
    <w:rsid w:val="00795FC0"/>
    <w:rPr>
      <w:b/>
      <w:bCs/>
    </w:rPr>
  </w:style>
  <w:style w:type="paragraph" w:styleId="ListParagraph">
    <w:name w:val="List Paragraph"/>
    <w:basedOn w:val="Normal"/>
    <w:uiPriority w:val="1"/>
    <w:qFormat/>
    <w:rsid w:val="00795F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Baxmann</dc:creator>
  <cp:keywords/>
  <dc:description/>
  <cp:lastModifiedBy>Amy Baxmann</cp:lastModifiedBy>
  <cp:revision>1</cp:revision>
  <dcterms:created xsi:type="dcterms:W3CDTF">2024-08-30T14:55:00Z</dcterms:created>
  <dcterms:modified xsi:type="dcterms:W3CDTF">2024-08-30T15:06:00Z</dcterms:modified>
</cp:coreProperties>
</file>